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56BC8296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C358EF">
        <w:rPr>
          <w:rFonts w:ascii="Poppins" w:hAnsi="Poppins" w:cs="Poppins"/>
          <w:sz w:val="20"/>
          <w:szCs w:val="20"/>
        </w:rPr>
        <w:t>2</w:t>
      </w:r>
      <w:r w:rsidR="005878EB">
        <w:rPr>
          <w:rFonts w:ascii="Poppins" w:hAnsi="Poppins" w:cs="Poppins"/>
          <w:sz w:val="20"/>
          <w:szCs w:val="20"/>
        </w:rPr>
        <w:t>7</w:t>
      </w:r>
      <w:r w:rsidR="00C358EF">
        <w:rPr>
          <w:rFonts w:ascii="Poppins" w:hAnsi="Poppins" w:cs="Poppins"/>
          <w:sz w:val="20"/>
          <w:szCs w:val="20"/>
        </w:rPr>
        <w:t>.06</w:t>
      </w:r>
      <w:r w:rsidR="00BF2F46">
        <w:rPr>
          <w:rFonts w:ascii="Poppins" w:hAnsi="Poppins" w:cs="Poppins"/>
          <w:sz w:val="20"/>
          <w:szCs w:val="20"/>
        </w:rPr>
        <w:t>.2</w:t>
      </w:r>
      <w:r w:rsidR="006637AD">
        <w:rPr>
          <w:rFonts w:ascii="Poppins" w:hAnsi="Poppins" w:cs="Poppins"/>
          <w:sz w:val="20"/>
          <w:szCs w:val="20"/>
        </w:rPr>
        <w:t>0</w:t>
      </w:r>
      <w:r w:rsidR="00BF2F46">
        <w:rPr>
          <w:rFonts w:ascii="Poppins" w:hAnsi="Poppins" w:cs="Poppins"/>
          <w:sz w:val="20"/>
          <w:szCs w:val="20"/>
        </w:rPr>
        <w:t>2</w:t>
      </w:r>
      <w:r w:rsidR="006637AD">
        <w:rPr>
          <w:rFonts w:ascii="Poppins" w:hAnsi="Poppins" w:cs="Poppins"/>
          <w:sz w:val="20"/>
          <w:szCs w:val="20"/>
        </w:rPr>
        <w:t>3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7FF92F84" w:rsidR="00293F01" w:rsidRDefault="00293F01" w:rsidP="0034597C">
      <w:pPr>
        <w:spacing w:before="120" w:after="120" w:line="240" w:lineRule="auto"/>
        <w:rPr>
          <w:rFonts w:ascii="Poppins" w:hAnsi="Poppins" w:cs="Poppins"/>
          <w:sz w:val="24"/>
          <w:szCs w:val="24"/>
        </w:rPr>
      </w:pPr>
      <w:r w:rsidRPr="00293F01">
        <w:rPr>
          <w:rFonts w:ascii="Poppins" w:hAnsi="Poppins" w:cs="Poppins"/>
          <w:sz w:val="24"/>
          <w:szCs w:val="24"/>
        </w:rPr>
        <w:t xml:space="preserve">Autor: </w:t>
      </w:r>
      <w:r w:rsidR="00BF2F46">
        <w:rPr>
          <w:rFonts w:ascii="Poppins" w:hAnsi="Poppins" w:cs="Poppins"/>
          <w:sz w:val="24"/>
          <w:szCs w:val="24"/>
        </w:rPr>
        <w:t>Jarosław Jędrzyński</w:t>
      </w:r>
      <w:r w:rsidR="005878EB">
        <w:rPr>
          <w:rFonts w:ascii="Poppins" w:hAnsi="Poppins" w:cs="Poppins"/>
          <w:sz w:val="24"/>
          <w:szCs w:val="24"/>
        </w:rPr>
        <w:t>, ekspert portalu RynekPierwotny.pl</w:t>
      </w:r>
    </w:p>
    <w:p w14:paraId="4FAF1DC7" w14:textId="0C163F1A" w:rsidR="001F4E57" w:rsidRPr="001F4E57" w:rsidRDefault="009747CF" w:rsidP="001F4E57">
      <w:pPr>
        <w:spacing w:after="0" w:line="240" w:lineRule="auto"/>
        <w:jc w:val="center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D</w:t>
      </w:r>
      <w:r w:rsidR="001B4273"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ynamika</w:t>
      </w:r>
      <w:r w:rsidR="00ED6DEA"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cen materiałów budowlanych</w:t>
      </w:r>
      <w:r w:rsidR="00806F6A"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w </w:t>
      </w:r>
      <w:r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maju</w:t>
      </w:r>
    </w:p>
    <w:p w14:paraId="0AEFA339" w14:textId="3786F699" w:rsidR="00697F5E" w:rsidRPr="001F4E57" w:rsidRDefault="009747CF" w:rsidP="001F4E57">
      <w:pPr>
        <w:spacing w:after="0" w:line="240" w:lineRule="auto"/>
        <w:jc w:val="center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najniższa od </w:t>
      </w:r>
      <w:r w:rsidR="00034425"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dwóch</w:t>
      </w:r>
      <w:r w:rsidRPr="001F4E5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lat</w:t>
      </w:r>
    </w:p>
    <w:p w14:paraId="2655673F" w14:textId="7E6FB03A" w:rsidR="00697F5E" w:rsidRPr="00090421" w:rsidRDefault="00090421" w:rsidP="00090421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D</w:t>
      </w:r>
      <w:r w:rsidR="00DB3B0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ynamika cen materiałów budowlanych</w:t>
      </w:r>
      <w:r w:rsidR="0022406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w maju</w:t>
      </w:r>
      <w:r w:rsidR="00DB3B0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B53571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kontynuowała trwającą już od 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ponad </w:t>
      </w:r>
      <w:r w:rsidR="00B53571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roku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jednostajną </w:t>
      </w:r>
      <w:r w:rsidR="00DB3B0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zniżk</w:t>
      </w:r>
      <w:r w:rsidR="00B53571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ę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, osiągając </w:t>
      </w:r>
      <w:r w:rsidR="0022406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rok do roku </w:t>
      </w:r>
      <w:r w:rsidR="00DB3B0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poziom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zaledwie 5</w:t>
      </w:r>
      <w:r w:rsidR="00DB3B0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proc. </w:t>
      </w:r>
      <w:r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Jak zauważają eksperci portalu RynekPierwotny.pl 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tempo materiałowej drożyzny osiągnęło najniższy poziom od kwietnia 2021 roku, czyli od ponad dwóch lat.</w:t>
      </w:r>
      <w:r w:rsidR="00B53571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Bez większego ryzyka m</w:t>
      </w:r>
      <w:r w:rsidR="00B53571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ożna założyć, że sytuacja rynkowa 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powróciła do </w:t>
      </w:r>
      <w:r w:rsidR="0022406B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względnej </w:t>
      </w:r>
      <w:r w:rsidR="00C20A46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normalności</w:t>
      </w:r>
      <w:r w:rsidR="00BD7764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.</w:t>
      </w:r>
    </w:p>
    <w:p w14:paraId="6EE81886" w14:textId="4E53BE2A" w:rsidR="00806F6A" w:rsidRPr="00090421" w:rsidRDefault="00816F99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Wciąż nie słabnie tempo </w:t>
      </w:r>
      <w:r w:rsidR="00F677E7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powrotu </w:t>
      </w:r>
      <w:r w:rsidR="00EE42EC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parametrów wzrostu cen materiałów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budowlanych do możliwych do zaakceptowania </w:t>
      </w:r>
      <w:r w:rsidR="00EE42EC" w:rsidRPr="00090421">
        <w:rPr>
          <w:rFonts w:ascii="Poppins" w:eastAsia="Times New Roman" w:hAnsi="Poppins" w:cs="Poppins"/>
          <w:sz w:val="21"/>
          <w:szCs w:val="21"/>
          <w:lang w:eastAsia="pl-PL"/>
        </w:rPr>
        <w:t>wartości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. Czy poziom 5 proc. jest już tak</w:t>
      </w:r>
      <w:r w:rsidR="00C7365E" w:rsidRPr="00090421">
        <w:rPr>
          <w:rFonts w:ascii="Poppins" w:eastAsia="Times New Roman" w:hAnsi="Poppins" w:cs="Poppins"/>
          <w:sz w:val="21"/>
          <w:szCs w:val="21"/>
          <w:lang w:eastAsia="pl-PL"/>
        </w:rPr>
        <w:t>ą wartością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? </w:t>
      </w:r>
      <w:r w:rsidR="00EE42EC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C7365E" w:rsidRPr="00090421">
        <w:rPr>
          <w:rFonts w:ascii="Poppins" w:eastAsia="Times New Roman" w:hAnsi="Poppins" w:cs="Poppins"/>
          <w:sz w:val="21"/>
          <w:szCs w:val="21"/>
          <w:lang w:eastAsia="pl-PL"/>
        </w:rPr>
        <w:t>W aktualnych warunkach makroekonomicznych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C7365E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z</w:t>
      </w:r>
      <w:r w:rsidR="00211A95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rodzimą</w:t>
      </w:r>
      <w:r w:rsidR="00C7365E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inflacją CPI rzędu 13 proc.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C7365E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trudno o inn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C7365E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niż twierdząca odpowiedź.</w:t>
      </w:r>
    </w:p>
    <w:p w14:paraId="41B90D1B" w14:textId="6E2ED352" w:rsidR="00697F5E" w:rsidRPr="00090421" w:rsidRDefault="004B3B06" w:rsidP="00090421">
      <w:pPr>
        <w:spacing w:before="120" w:after="120" w:line="240" w:lineRule="auto"/>
        <w:contextualSpacing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2A8C269B" wp14:editId="5DC8749F">
            <wp:extent cx="6638925" cy="4286250"/>
            <wp:effectExtent l="0" t="0" r="9525" b="0"/>
            <wp:docPr id="4758531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F5E" w:rsidRPr="00090421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                                                 </w:t>
      </w:r>
    </w:p>
    <w:p w14:paraId="600D12C9" w14:textId="77777777" w:rsidR="005878EB" w:rsidRPr="00090421" w:rsidRDefault="005878EB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</w:p>
    <w:p w14:paraId="707C0338" w14:textId="7DB33BE1" w:rsidR="0043352D" w:rsidRPr="00090421" w:rsidRDefault="00BC4CD7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W najnowszym 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>odczy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cie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dynamiki cen materiałów budowlanych autorstwa Grupy PSB w dalszym ciągu 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najszybciej drożeje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cement-wapno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, tym razem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rok do roku o 3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1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rdr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, co oznacza wyhamowanie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>wzros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t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u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cen tego spoiwa </w:t>
      </w:r>
      <w:r w:rsidR="0022406B" w:rsidRPr="00090421">
        <w:rPr>
          <w:rFonts w:ascii="Poppins" w:eastAsia="Times New Roman" w:hAnsi="Poppins" w:cs="Poppins"/>
          <w:sz w:val="21"/>
          <w:szCs w:val="21"/>
          <w:lang w:eastAsia="pl-PL"/>
        </w:rPr>
        <w:t>o 7 pp.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Ponownie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, tym razem bez wyjątku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we wszystkich pozostałych grupach towarowych zanotowano istotny statystycznie regres dynamiki cen. </w:t>
      </w:r>
    </w:p>
    <w:p w14:paraId="60946EA8" w14:textId="5A2C0753" w:rsidR="0043352D" w:rsidRPr="00090421" w:rsidRDefault="0043352D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Na drugim biegunie</w:t>
      </w:r>
      <w:r w:rsidR="00211A95" w:rsidRPr="00090421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podobnie jak miesiąc wcześniej</w:t>
      </w:r>
      <w:r w:rsidR="00211A95" w:rsidRPr="00090421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klasyfikację zamykają płyty OSB i drewno,</w:t>
      </w:r>
      <w:r w:rsidR="00BC4CD7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izolacje termiczne oraz dachy z rynnami, 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>w przypadku których zanotowano już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dość wyraźne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spadki cen rok do roku rzędu odpowiednio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24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>, 1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7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i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7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Co więcej, p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owiększenie stawki grup towarowych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z ujemną dynamiką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już 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do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pięciu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pozycji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może </w:t>
      </w:r>
      <w:r w:rsidR="008A0C71" w:rsidRPr="00090421">
        <w:rPr>
          <w:rFonts w:ascii="Poppins" w:eastAsia="Times New Roman" w:hAnsi="Poppins" w:cs="Poppins"/>
          <w:sz w:val="21"/>
          <w:szCs w:val="21"/>
          <w:lang w:eastAsia="pl-PL"/>
        </w:rPr>
        <w:t>zapowiadać</w:t>
      </w:r>
      <w:r w:rsidR="00A971EE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nadchodząca powoli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korektę krajowych cen materiałów budowlanych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.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Mimo wszystko jest to jak najbardziej prawdopodobn</w:t>
      </w:r>
      <w:r w:rsidR="00211A95" w:rsidRPr="00090421">
        <w:rPr>
          <w:rFonts w:ascii="Poppins" w:eastAsia="Times New Roman" w:hAnsi="Poppins" w:cs="Poppins"/>
          <w:sz w:val="21"/>
          <w:szCs w:val="21"/>
          <w:lang w:eastAsia="pl-PL"/>
        </w:rPr>
        <w:t>y scenariusz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, choć jeszcze 2-3 miesiące temu </w:t>
      </w:r>
      <w:r w:rsidR="00211A95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zapewne 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trudn</w:t>
      </w:r>
      <w:r w:rsidR="00211A95" w:rsidRPr="00090421">
        <w:rPr>
          <w:rFonts w:ascii="Poppins" w:eastAsia="Times New Roman" w:hAnsi="Poppins" w:cs="Poppins"/>
          <w:sz w:val="21"/>
          <w:szCs w:val="21"/>
          <w:lang w:eastAsia="pl-PL"/>
        </w:rPr>
        <w:t>y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do wyobrażenia.</w:t>
      </w:r>
    </w:p>
    <w:p w14:paraId="57B1D532" w14:textId="5299BDC5" w:rsidR="00C20A46" w:rsidRPr="00090421" w:rsidRDefault="007D7794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513BB298" wp14:editId="6E912DDF">
            <wp:extent cx="6638925" cy="4972050"/>
            <wp:effectExtent l="0" t="0" r="9525" b="0"/>
            <wp:docPr id="171464522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EF5B" w14:textId="2D946B76" w:rsidR="002B3C10" w:rsidRPr="00090421" w:rsidRDefault="00090421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Jak wskazują eksperci portalu </w:t>
      </w:r>
      <w:hyperlink r:id="rId9" w:history="1">
        <w:r w:rsidRPr="007D2D71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RynekPierwotny.pl</w:t>
        </w:r>
      </w:hyperlink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t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>radycyjne</w:t>
      </w:r>
      <w:r w:rsidR="004E387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najbardziej wiarygodnym prognostykiem rozwoju koniunktury na rodzimym rynku materiałów budowlanych jest sytuacja na pierwotnym rynku mieszkaniowym. A tu wciąż nie widać wzrostu aktywności inwestycyjnej</w:t>
      </w:r>
      <w:r w:rsidR="00AA0572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inwestorów, tak indywidualnych jak i</w:t>
      </w:r>
      <w:r w:rsidR="004E387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firm deweloperskich. W statystykach GUS budownictwa mieszkaniowego </w:t>
      </w:r>
      <w:r w:rsidR="00A27B40" w:rsidRPr="00090421">
        <w:rPr>
          <w:rFonts w:ascii="Poppins" w:eastAsia="Times New Roman" w:hAnsi="Poppins" w:cs="Poppins"/>
          <w:sz w:val="21"/>
          <w:szCs w:val="21"/>
          <w:lang w:eastAsia="pl-PL"/>
        </w:rPr>
        <w:t>maj był kolejnym miesiącem marazmu inwestycyjnego. Dopóki stan ten nie ulegnie radykalnej zmianie, większych perturbacji na rynku materiałów budowlanych nie należy oczekiwać.</w:t>
      </w:r>
    </w:p>
    <w:p w14:paraId="6474731E" w14:textId="2B86BEE6" w:rsidR="00681867" w:rsidRPr="00090421" w:rsidRDefault="00681867" w:rsidP="00090421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Tymczasem z zarządów największych firm deweloperskich docierają sygnały, że </w:t>
      </w:r>
      <w:r w:rsidR="0098774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kwestia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materiałów budowlanych przesta</w:t>
      </w:r>
      <w:r w:rsidR="00987741" w:rsidRPr="00090421">
        <w:rPr>
          <w:rFonts w:ascii="Poppins" w:eastAsia="Times New Roman" w:hAnsi="Poppins" w:cs="Poppins"/>
          <w:sz w:val="21"/>
          <w:szCs w:val="21"/>
          <w:lang w:eastAsia="pl-PL"/>
        </w:rPr>
        <w:t>ła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być</w:t>
      </w:r>
      <w:r w:rsidR="0098774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dla branży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problemem, przede wszystkim </w:t>
      </w:r>
      <w:r w:rsidR="0098774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jako 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stymu</w:t>
      </w:r>
      <w:r w:rsidR="00987741" w:rsidRPr="00090421">
        <w:rPr>
          <w:rFonts w:ascii="Poppins" w:eastAsia="Times New Roman" w:hAnsi="Poppins" w:cs="Poppins"/>
          <w:sz w:val="21"/>
          <w:szCs w:val="21"/>
          <w:lang w:eastAsia="pl-PL"/>
        </w:rPr>
        <w:t>latora</w:t>
      </w: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wzrostów cen </w:t>
      </w:r>
      <w:r w:rsidR="00987741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wprowadzanych na rynek mieszkań. </w:t>
      </w:r>
    </w:p>
    <w:p w14:paraId="7FE58117" w14:textId="1D2F5A29" w:rsidR="0043352D" w:rsidRPr="00090421" w:rsidRDefault="001050D5" w:rsidP="00090421">
      <w:pPr>
        <w:spacing w:before="120" w:after="120" w:line="240" w:lineRule="auto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090421">
        <w:rPr>
          <w:rFonts w:ascii="Poppins" w:eastAsia="Times New Roman" w:hAnsi="Poppins" w:cs="Poppins"/>
          <w:sz w:val="21"/>
          <w:szCs w:val="21"/>
          <w:lang w:eastAsia="pl-PL"/>
        </w:rPr>
        <w:t>Natomiast zdecydowanie p</w:t>
      </w:r>
      <w:r w:rsidR="00650CF8" w:rsidRPr="00090421">
        <w:rPr>
          <w:rFonts w:ascii="Poppins" w:eastAsia="Times New Roman" w:hAnsi="Poppins" w:cs="Poppins"/>
          <w:sz w:val="21"/>
          <w:szCs w:val="21"/>
          <w:lang w:eastAsia="pl-PL"/>
        </w:rPr>
        <w:t>ozytywnym akcentem są najnowsze</w:t>
      </w:r>
      <w:r w:rsidR="00A971EE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E387D" w:rsidRPr="00090421">
        <w:rPr>
          <w:rFonts w:ascii="Poppins" w:eastAsia="Times New Roman" w:hAnsi="Poppins" w:cs="Poppins"/>
          <w:sz w:val="21"/>
          <w:szCs w:val="21"/>
          <w:lang w:eastAsia="pl-PL"/>
        </w:rPr>
        <w:t>statystyki sprzedaży Grupy PSB</w:t>
      </w:r>
      <w:r w:rsidR="00650CF8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, które tym razem </w:t>
      </w:r>
      <w:r w:rsidR="004E387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komunikują </w:t>
      </w:r>
      <w:r w:rsidR="00650CF8" w:rsidRPr="00090421">
        <w:rPr>
          <w:rFonts w:ascii="Poppins" w:eastAsia="Times New Roman" w:hAnsi="Poppins" w:cs="Poppins"/>
          <w:sz w:val="21"/>
          <w:szCs w:val="21"/>
          <w:lang w:eastAsia="pl-PL"/>
        </w:rPr>
        <w:t>pierwszy i dość wyraźny po dłużej przerwie progres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popyt</w:t>
      </w:r>
      <w:r w:rsidR="00A971EE" w:rsidRPr="00090421">
        <w:rPr>
          <w:rFonts w:ascii="Poppins" w:eastAsia="Times New Roman" w:hAnsi="Poppins" w:cs="Poppins"/>
          <w:sz w:val="21"/>
          <w:szCs w:val="21"/>
          <w:lang w:eastAsia="pl-PL"/>
        </w:rPr>
        <w:t>u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na materiały budowlane w kraju. W </w:t>
      </w:r>
      <w:r w:rsidR="00650CF8" w:rsidRPr="00090421">
        <w:rPr>
          <w:rFonts w:ascii="Poppins" w:eastAsia="Times New Roman" w:hAnsi="Poppins" w:cs="Poppins"/>
          <w:sz w:val="21"/>
          <w:szCs w:val="21"/>
          <w:lang w:eastAsia="pl-PL"/>
        </w:rPr>
        <w:t>maju</w:t>
      </w:r>
      <w:r w:rsidR="0043352D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D77934" w:rsidRPr="00090421">
        <w:rPr>
          <w:rFonts w:ascii="Poppins" w:eastAsia="Times New Roman" w:hAnsi="Poppins" w:cs="Poppins"/>
          <w:sz w:val="21"/>
          <w:szCs w:val="21"/>
          <w:lang w:eastAsia="pl-PL"/>
        </w:rPr>
        <w:t>w ramach Grupy PSB</w:t>
      </w:r>
      <w:r w:rsidR="00C0583C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sprzedaż materiałów była średnio niższa o </w:t>
      </w:r>
      <w:r w:rsidR="00650CF8" w:rsidRPr="00090421">
        <w:rPr>
          <w:rFonts w:ascii="Poppins" w:eastAsia="Times New Roman" w:hAnsi="Poppins" w:cs="Poppins"/>
          <w:sz w:val="21"/>
          <w:szCs w:val="21"/>
          <w:lang w:eastAsia="pl-PL"/>
        </w:rPr>
        <w:t>9</w:t>
      </w:r>
      <w:r w:rsidR="00C0583C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  <w:r w:rsidR="00C0583C" w:rsidRPr="00090421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w relacji rdr., a</w:t>
      </w:r>
      <w:r w:rsidR="00D77934" w:rsidRPr="00090421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7D6C4B" w:rsidRPr="00090421">
        <w:rPr>
          <w:rFonts w:ascii="Poppins" w:hAnsi="Poppins" w:cs="Poppins"/>
          <w:sz w:val="21"/>
          <w:szCs w:val="21"/>
          <w:shd w:val="clear" w:color="auto" w:fill="FFFFFF"/>
        </w:rPr>
        <w:t xml:space="preserve">dodatnią dynamikę odnotowano </w:t>
      </w:r>
      <w:r w:rsidR="00650CF8" w:rsidRPr="00090421">
        <w:rPr>
          <w:rFonts w:ascii="Poppins" w:hAnsi="Poppins" w:cs="Poppins"/>
          <w:sz w:val="21"/>
          <w:szCs w:val="21"/>
          <w:shd w:val="clear" w:color="auto" w:fill="FFFFFF"/>
        </w:rPr>
        <w:t>już w dziewięciu pozycjach, podczas gdy miesiąc wcześniej była tylko jedna -</w:t>
      </w:r>
      <w:r w:rsidR="007D6C4B" w:rsidRPr="00090421">
        <w:rPr>
          <w:rFonts w:ascii="Poppins" w:hAnsi="Poppins" w:cs="Poppins"/>
          <w:sz w:val="21"/>
          <w:szCs w:val="21"/>
          <w:shd w:val="clear" w:color="auto" w:fill="FFFFFF"/>
        </w:rPr>
        <w:t xml:space="preserve"> farby, lakiery</w:t>
      </w:r>
      <w:r w:rsidR="00650CF8" w:rsidRPr="00090421">
        <w:rPr>
          <w:rFonts w:ascii="Poppins" w:hAnsi="Poppins" w:cs="Poppins"/>
          <w:sz w:val="21"/>
          <w:szCs w:val="21"/>
          <w:shd w:val="clear" w:color="auto" w:fill="FFFFFF"/>
        </w:rPr>
        <w:t xml:space="preserve">. </w:t>
      </w:r>
      <w:r w:rsidR="007D6C4B" w:rsidRPr="00090421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</w:p>
    <w:p w14:paraId="7017D3D9" w14:textId="7F198DCE" w:rsidR="00650CF8" w:rsidRPr="00090421" w:rsidRDefault="00650CF8" w:rsidP="00090421">
      <w:pPr>
        <w:spacing w:before="120" w:after="120" w:line="240" w:lineRule="auto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090421">
        <w:rPr>
          <w:rFonts w:ascii="Poppins" w:hAnsi="Poppins" w:cs="Poppins"/>
          <w:sz w:val="21"/>
          <w:szCs w:val="21"/>
          <w:shd w:val="clear" w:color="auto" w:fill="FFFFFF"/>
        </w:rPr>
        <w:t>Najwyższą dodatnią dynamikę odnotowano w 5 grupach: płyty OSB, drewno (+26%), farby, lakiery (+25%), cement, wapno (+16%), chemia budowlana (+13%), motoryzacja (+8%)</w:t>
      </w:r>
      <w:r w:rsidR="005A4F6C" w:rsidRPr="00090421">
        <w:rPr>
          <w:rFonts w:ascii="Poppins" w:hAnsi="Poppins" w:cs="Poppins"/>
          <w:sz w:val="21"/>
          <w:szCs w:val="21"/>
          <w:shd w:val="clear" w:color="auto" w:fill="FFFFFF"/>
        </w:rPr>
        <w:t>. Z kole na</w:t>
      </w:r>
      <w:r w:rsidRPr="00090421">
        <w:rPr>
          <w:rFonts w:ascii="Poppins" w:hAnsi="Poppins" w:cs="Poppins"/>
          <w:sz w:val="21"/>
          <w:szCs w:val="21"/>
          <w:shd w:val="clear" w:color="auto" w:fill="FFFFFF"/>
        </w:rPr>
        <w:t>jwiększe spadki nastąpiły w kategoriach: stolarka (-17%), wykończenia (-20%), dachy, rynny (-32%), izolacje termiczne (-42%) oraz ściany, kominy (-46%).</w:t>
      </w:r>
    </w:p>
    <w:sectPr w:rsidR="00650CF8" w:rsidRPr="00090421" w:rsidSect="00697F5E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D8C6" w14:textId="77777777" w:rsidR="002646BD" w:rsidRDefault="002646BD" w:rsidP="00E533BD">
      <w:pPr>
        <w:spacing w:after="0" w:line="240" w:lineRule="auto"/>
      </w:pPr>
      <w:r>
        <w:separator/>
      </w:r>
    </w:p>
  </w:endnote>
  <w:endnote w:type="continuationSeparator" w:id="0">
    <w:p w14:paraId="5A0A50D9" w14:textId="77777777" w:rsidR="002646BD" w:rsidRDefault="002646BD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2712" w14:textId="77777777" w:rsidR="002646BD" w:rsidRDefault="002646BD" w:rsidP="00E533BD">
      <w:pPr>
        <w:spacing w:after="0" w:line="240" w:lineRule="auto"/>
      </w:pPr>
      <w:r>
        <w:separator/>
      </w:r>
    </w:p>
  </w:footnote>
  <w:footnote w:type="continuationSeparator" w:id="0">
    <w:p w14:paraId="72356E64" w14:textId="77777777" w:rsidR="002646BD" w:rsidRDefault="002646BD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254C5"/>
    <w:rsid w:val="0002766B"/>
    <w:rsid w:val="00034425"/>
    <w:rsid w:val="00034C97"/>
    <w:rsid w:val="00035801"/>
    <w:rsid w:val="0004367A"/>
    <w:rsid w:val="000453AA"/>
    <w:rsid w:val="00054865"/>
    <w:rsid w:val="00065DA5"/>
    <w:rsid w:val="00073CF3"/>
    <w:rsid w:val="00090421"/>
    <w:rsid w:val="000926D2"/>
    <w:rsid w:val="000B62CD"/>
    <w:rsid w:val="000D0B8A"/>
    <w:rsid w:val="000D28E2"/>
    <w:rsid w:val="000F0B92"/>
    <w:rsid w:val="001050D5"/>
    <w:rsid w:val="00106C6C"/>
    <w:rsid w:val="00107819"/>
    <w:rsid w:val="001212C3"/>
    <w:rsid w:val="00160B41"/>
    <w:rsid w:val="00176DE5"/>
    <w:rsid w:val="00180083"/>
    <w:rsid w:val="00182A25"/>
    <w:rsid w:val="0018306C"/>
    <w:rsid w:val="00193531"/>
    <w:rsid w:val="001A22D2"/>
    <w:rsid w:val="001A3C71"/>
    <w:rsid w:val="001B16B5"/>
    <w:rsid w:val="001B4273"/>
    <w:rsid w:val="001B787B"/>
    <w:rsid w:val="001C12F6"/>
    <w:rsid w:val="001E7914"/>
    <w:rsid w:val="001F2B70"/>
    <w:rsid w:val="001F4E57"/>
    <w:rsid w:val="00211A95"/>
    <w:rsid w:val="0022406B"/>
    <w:rsid w:val="00260A88"/>
    <w:rsid w:val="002636ED"/>
    <w:rsid w:val="002646BD"/>
    <w:rsid w:val="002746E9"/>
    <w:rsid w:val="00293F01"/>
    <w:rsid w:val="002A2D5B"/>
    <w:rsid w:val="002B3C10"/>
    <w:rsid w:val="002C3A0A"/>
    <w:rsid w:val="002D0254"/>
    <w:rsid w:val="002E6753"/>
    <w:rsid w:val="0034597C"/>
    <w:rsid w:val="003A2123"/>
    <w:rsid w:val="003A4611"/>
    <w:rsid w:val="003A6B16"/>
    <w:rsid w:val="003B4018"/>
    <w:rsid w:val="003C074C"/>
    <w:rsid w:val="003F27C1"/>
    <w:rsid w:val="003F68DF"/>
    <w:rsid w:val="00400EE4"/>
    <w:rsid w:val="004035DD"/>
    <w:rsid w:val="0043352D"/>
    <w:rsid w:val="00447594"/>
    <w:rsid w:val="004A26F7"/>
    <w:rsid w:val="004B3B06"/>
    <w:rsid w:val="004C3923"/>
    <w:rsid w:val="004E387D"/>
    <w:rsid w:val="00507867"/>
    <w:rsid w:val="00565B3F"/>
    <w:rsid w:val="00570F57"/>
    <w:rsid w:val="00574BA8"/>
    <w:rsid w:val="00575491"/>
    <w:rsid w:val="005756AC"/>
    <w:rsid w:val="00581DC2"/>
    <w:rsid w:val="00582E44"/>
    <w:rsid w:val="005878EB"/>
    <w:rsid w:val="0059626C"/>
    <w:rsid w:val="005A4F6C"/>
    <w:rsid w:val="005E154B"/>
    <w:rsid w:val="0061178A"/>
    <w:rsid w:val="006170B5"/>
    <w:rsid w:val="00642218"/>
    <w:rsid w:val="00642BDC"/>
    <w:rsid w:val="00650CF8"/>
    <w:rsid w:val="0066099C"/>
    <w:rsid w:val="0066231E"/>
    <w:rsid w:val="006637AD"/>
    <w:rsid w:val="00681867"/>
    <w:rsid w:val="00693D0A"/>
    <w:rsid w:val="00697F5E"/>
    <w:rsid w:val="006D5506"/>
    <w:rsid w:val="006E189E"/>
    <w:rsid w:val="006F1831"/>
    <w:rsid w:val="00734D2E"/>
    <w:rsid w:val="007359D6"/>
    <w:rsid w:val="007430AD"/>
    <w:rsid w:val="00764495"/>
    <w:rsid w:val="00776C44"/>
    <w:rsid w:val="007B5076"/>
    <w:rsid w:val="007D078D"/>
    <w:rsid w:val="007D2D71"/>
    <w:rsid w:val="007D6C4B"/>
    <w:rsid w:val="007D7794"/>
    <w:rsid w:val="00806F6A"/>
    <w:rsid w:val="00816F99"/>
    <w:rsid w:val="00817355"/>
    <w:rsid w:val="00825AD9"/>
    <w:rsid w:val="008374B1"/>
    <w:rsid w:val="00854F15"/>
    <w:rsid w:val="00862CF6"/>
    <w:rsid w:val="00863FFD"/>
    <w:rsid w:val="00884A9A"/>
    <w:rsid w:val="00895121"/>
    <w:rsid w:val="008A0C71"/>
    <w:rsid w:val="008A179F"/>
    <w:rsid w:val="008C55BD"/>
    <w:rsid w:val="008F7B1C"/>
    <w:rsid w:val="0091278B"/>
    <w:rsid w:val="00944148"/>
    <w:rsid w:val="0094632E"/>
    <w:rsid w:val="00964F60"/>
    <w:rsid w:val="009747CF"/>
    <w:rsid w:val="00987741"/>
    <w:rsid w:val="00991681"/>
    <w:rsid w:val="009A324B"/>
    <w:rsid w:val="009E2F93"/>
    <w:rsid w:val="00A27B40"/>
    <w:rsid w:val="00A366EE"/>
    <w:rsid w:val="00A708C0"/>
    <w:rsid w:val="00A87236"/>
    <w:rsid w:val="00A90FB0"/>
    <w:rsid w:val="00A92EC0"/>
    <w:rsid w:val="00A971EE"/>
    <w:rsid w:val="00AA0572"/>
    <w:rsid w:val="00AB41B4"/>
    <w:rsid w:val="00AD55A3"/>
    <w:rsid w:val="00AE0AEC"/>
    <w:rsid w:val="00B12448"/>
    <w:rsid w:val="00B17444"/>
    <w:rsid w:val="00B23FBA"/>
    <w:rsid w:val="00B26CF0"/>
    <w:rsid w:val="00B33F85"/>
    <w:rsid w:val="00B402C6"/>
    <w:rsid w:val="00B50836"/>
    <w:rsid w:val="00B53571"/>
    <w:rsid w:val="00B55ADB"/>
    <w:rsid w:val="00B90088"/>
    <w:rsid w:val="00BA4434"/>
    <w:rsid w:val="00BB29FF"/>
    <w:rsid w:val="00BC4CD7"/>
    <w:rsid w:val="00BD7764"/>
    <w:rsid w:val="00BE24E8"/>
    <w:rsid w:val="00BF2F46"/>
    <w:rsid w:val="00BF38F4"/>
    <w:rsid w:val="00C0583C"/>
    <w:rsid w:val="00C12248"/>
    <w:rsid w:val="00C20A46"/>
    <w:rsid w:val="00C358EF"/>
    <w:rsid w:val="00C35B7E"/>
    <w:rsid w:val="00C40B2C"/>
    <w:rsid w:val="00C420AF"/>
    <w:rsid w:val="00C4530E"/>
    <w:rsid w:val="00C7365E"/>
    <w:rsid w:val="00C82B32"/>
    <w:rsid w:val="00CC0120"/>
    <w:rsid w:val="00CD69DB"/>
    <w:rsid w:val="00CD7441"/>
    <w:rsid w:val="00CF036B"/>
    <w:rsid w:val="00D16C7D"/>
    <w:rsid w:val="00D226CB"/>
    <w:rsid w:val="00D320B2"/>
    <w:rsid w:val="00D4634E"/>
    <w:rsid w:val="00D606A5"/>
    <w:rsid w:val="00D61549"/>
    <w:rsid w:val="00D77934"/>
    <w:rsid w:val="00DA4309"/>
    <w:rsid w:val="00DA7D8F"/>
    <w:rsid w:val="00DB06EF"/>
    <w:rsid w:val="00DB1B89"/>
    <w:rsid w:val="00DB3B0B"/>
    <w:rsid w:val="00DC1870"/>
    <w:rsid w:val="00DD6A44"/>
    <w:rsid w:val="00E25AAC"/>
    <w:rsid w:val="00E32F03"/>
    <w:rsid w:val="00E44DB9"/>
    <w:rsid w:val="00E533BD"/>
    <w:rsid w:val="00E535F7"/>
    <w:rsid w:val="00EA269B"/>
    <w:rsid w:val="00EA7CFC"/>
    <w:rsid w:val="00EB6336"/>
    <w:rsid w:val="00ED61B2"/>
    <w:rsid w:val="00ED6DEA"/>
    <w:rsid w:val="00EE42EC"/>
    <w:rsid w:val="00F11A8D"/>
    <w:rsid w:val="00F2311C"/>
    <w:rsid w:val="00F677E7"/>
    <w:rsid w:val="00F745FF"/>
    <w:rsid w:val="00F76DCA"/>
    <w:rsid w:val="00F81375"/>
    <w:rsid w:val="00F8692D"/>
    <w:rsid w:val="00FA42CC"/>
    <w:rsid w:val="00FB2B63"/>
    <w:rsid w:val="00FB7A20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Hipercze">
    <w:name w:val="Hyperlink"/>
    <w:basedOn w:val="Domylnaczcionkaakapitu"/>
    <w:uiPriority w:val="99"/>
    <w:unhideWhenUsed/>
    <w:rsid w:val="007D2D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ynekpierwotny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73</cp:revision>
  <cp:lastPrinted>2022-08-09T11:51:00Z</cp:lastPrinted>
  <dcterms:created xsi:type="dcterms:W3CDTF">2023-06-26T06:53:00Z</dcterms:created>
  <dcterms:modified xsi:type="dcterms:W3CDTF">2023-06-27T07:33:00Z</dcterms:modified>
</cp:coreProperties>
</file>